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A1D1D" w14:textId="23AB0CB0" w:rsidR="006D62AC" w:rsidRDefault="00B53059" w:rsidP="00BC02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DF16F9">
        <w:rPr>
          <w:spacing w:val="-3"/>
        </w:rPr>
        <w:t xml:space="preserve">The Queensland Government is committed to reducing the amount of plastic in and entering the environment. </w:t>
      </w:r>
      <w:r w:rsidR="00DF16F9" w:rsidRPr="00DF16F9">
        <w:rPr>
          <w:spacing w:val="-3"/>
          <w:lang w:val="en-AU"/>
        </w:rPr>
        <w:t>Plastic that is not managed appropriately can have significant environmental, economic, social and human health impacts.</w:t>
      </w:r>
      <w:r w:rsidR="00DF16F9">
        <w:rPr>
          <w:spacing w:val="-3"/>
          <w:lang w:val="en-AU"/>
        </w:rPr>
        <w:t xml:space="preserve"> </w:t>
      </w:r>
    </w:p>
    <w:p w14:paraId="5EFA1D1F" w14:textId="4192A867" w:rsidR="006D62AC" w:rsidRPr="00F73611" w:rsidRDefault="00B53059" w:rsidP="00BC02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rPr>
          <w:spacing w:val="-3"/>
        </w:rPr>
      </w:pPr>
      <w:r w:rsidRPr="00F73611">
        <w:rPr>
          <w:spacing w:val="-3"/>
        </w:rPr>
        <w:t xml:space="preserve">The Queensland Government </w:t>
      </w:r>
      <w:r w:rsidR="00DB68E2">
        <w:rPr>
          <w:spacing w:val="-3"/>
        </w:rPr>
        <w:t xml:space="preserve">has </w:t>
      </w:r>
      <w:r w:rsidRPr="00F73611">
        <w:rPr>
          <w:spacing w:val="-3"/>
        </w:rPr>
        <w:t>already taken significant action, including the introduction of a ban on the supply of lightweight plastic shopping bags and the container refund scheme in 2018.</w:t>
      </w:r>
      <w:r w:rsidRPr="00B53059">
        <w:rPr>
          <w:spacing w:val="-3"/>
        </w:rPr>
        <w:t xml:space="preserve"> </w:t>
      </w:r>
    </w:p>
    <w:p w14:paraId="67B7955A" w14:textId="77777777" w:rsidR="00BC0203" w:rsidRDefault="00DF16F9" w:rsidP="00BC02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i/>
          <w:spacing w:val="-4"/>
        </w:rPr>
        <w:t xml:space="preserve">Tackling </w:t>
      </w:r>
      <w:r>
        <w:rPr>
          <w:i/>
          <w:spacing w:val="-3"/>
        </w:rPr>
        <w:t xml:space="preserve">Plastic Waste </w:t>
      </w:r>
      <w:r>
        <w:rPr>
          <w:i/>
        </w:rPr>
        <w:t xml:space="preserve">– </w:t>
      </w:r>
      <w:r>
        <w:rPr>
          <w:i/>
          <w:spacing w:val="-4"/>
        </w:rPr>
        <w:t xml:space="preserve">Queensland’s Plastic Pollution Reduction </w:t>
      </w:r>
      <w:r>
        <w:rPr>
          <w:i/>
          <w:spacing w:val="-3"/>
        </w:rPr>
        <w:t xml:space="preserve">Plan </w:t>
      </w:r>
      <w:r>
        <w:rPr>
          <w:spacing w:val="-3"/>
        </w:rPr>
        <w:t xml:space="preserve">(the Plan) </w:t>
      </w:r>
      <w:r>
        <w:rPr>
          <w:spacing w:val="-4"/>
        </w:rPr>
        <w:t xml:space="preserve">prioritises </w:t>
      </w:r>
      <w:r>
        <w:rPr>
          <w:spacing w:val="-3"/>
        </w:rPr>
        <w:t xml:space="preserve">short and long term actions that help </w:t>
      </w:r>
      <w:r>
        <w:t>to</w:t>
      </w:r>
      <w:r w:rsidR="00BC0203">
        <w:t>:</w:t>
      </w:r>
      <w:r>
        <w:t xml:space="preserve"> </w:t>
      </w:r>
    </w:p>
    <w:p w14:paraId="480DFC86" w14:textId="77777777" w:rsidR="00BC0203" w:rsidRPr="00BC0203" w:rsidRDefault="00DF16F9" w:rsidP="00BC0203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ind w:left="757" w:right="3"/>
      </w:pPr>
      <w:r w:rsidRPr="00BC0203">
        <w:rPr>
          <w:spacing w:val="-3"/>
        </w:rPr>
        <w:t xml:space="preserve">reduce the amount </w:t>
      </w:r>
      <w:r>
        <w:t xml:space="preserve">of </w:t>
      </w:r>
      <w:r w:rsidRPr="00BC0203">
        <w:rPr>
          <w:spacing w:val="-3"/>
        </w:rPr>
        <w:t xml:space="preserve">plastic waste </w:t>
      </w:r>
      <w:r w:rsidRPr="00BC0203">
        <w:rPr>
          <w:spacing w:val="-4"/>
        </w:rPr>
        <w:t xml:space="preserve">generated; </w:t>
      </w:r>
    </w:p>
    <w:p w14:paraId="427DBCFB" w14:textId="77777777" w:rsidR="00BC0203" w:rsidRPr="00BC0203" w:rsidRDefault="00DF16F9" w:rsidP="00BC0203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ind w:left="757" w:right="3"/>
      </w:pPr>
      <w:r w:rsidRPr="00BC0203">
        <w:rPr>
          <w:spacing w:val="-4"/>
        </w:rPr>
        <w:t xml:space="preserve">optimise </w:t>
      </w:r>
      <w:r w:rsidRPr="00BC0203">
        <w:rPr>
          <w:spacing w:val="-3"/>
        </w:rPr>
        <w:t xml:space="preserve">the </w:t>
      </w:r>
      <w:r w:rsidRPr="00BC0203">
        <w:rPr>
          <w:spacing w:val="-4"/>
        </w:rPr>
        <w:t xml:space="preserve">recovery </w:t>
      </w:r>
      <w:r>
        <w:t xml:space="preserve">and </w:t>
      </w:r>
      <w:r w:rsidRPr="00BC0203">
        <w:rPr>
          <w:spacing w:val="-4"/>
        </w:rPr>
        <w:t xml:space="preserve">reprocessing </w:t>
      </w:r>
      <w:r>
        <w:t xml:space="preserve">of </w:t>
      </w:r>
      <w:r w:rsidRPr="00BC0203">
        <w:rPr>
          <w:spacing w:val="-4"/>
        </w:rPr>
        <w:t xml:space="preserve">end-of-life </w:t>
      </w:r>
      <w:r w:rsidRPr="00BC0203">
        <w:rPr>
          <w:spacing w:val="-3"/>
        </w:rPr>
        <w:t xml:space="preserve">plastic </w:t>
      </w:r>
      <w:r>
        <w:t xml:space="preserve">by </w:t>
      </w:r>
      <w:r w:rsidR="00B53059" w:rsidRPr="00BC0203">
        <w:rPr>
          <w:spacing w:val="-4"/>
        </w:rPr>
        <w:t xml:space="preserve">encouraging </w:t>
      </w:r>
      <w:r w:rsidRPr="00BC0203">
        <w:rPr>
          <w:spacing w:val="-3"/>
        </w:rPr>
        <w:t xml:space="preserve">investment </w:t>
      </w:r>
      <w:r>
        <w:t xml:space="preserve">in a </w:t>
      </w:r>
      <w:r w:rsidRPr="00BC0203">
        <w:rPr>
          <w:spacing w:val="-3"/>
        </w:rPr>
        <w:t xml:space="preserve">new and expanded </w:t>
      </w:r>
      <w:r w:rsidRPr="00BC0203">
        <w:rPr>
          <w:spacing w:val="-4"/>
        </w:rPr>
        <w:t xml:space="preserve">infrastructure; </w:t>
      </w:r>
      <w:r w:rsidRPr="00BC0203">
        <w:rPr>
          <w:spacing w:val="-3"/>
        </w:rPr>
        <w:t xml:space="preserve">and </w:t>
      </w:r>
    </w:p>
    <w:p w14:paraId="4740E6F6" w14:textId="77777777" w:rsidR="00BC0203" w:rsidRPr="00BC0203" w:rsidRDefault="00DF16F9" w:rsidP="00BC0203">
      <w:pPr>
        <w:pStyle w:val="ListParagraph"/>
        <w:numPr>
          <w:ilvl w:val="0"/>
          <w:numId w:val="3"/>
        </w:numPr>
        <w:tabs>
          <w:tab w:val="left" w:pos="426"/>
        </w:tabs>
        <w:spacing w:before="120"/>
        <w:ind w:left="757" w:right="3"/>
      </w:pPr>
      <w:r w:rsidRPr="00BC0203">
        <w:rPr>
          <w:spacing w:val="-3"/>
        </w:rPr>
        <w:t xml:space="preserve">reduce the amount </w:t>
      </w:r>
      <w:r>
        <w:t xml:space="preserve">of </w:t>
      </w:r>
      <w:r w:rsidRPr="00BC0203">
        <w:rPr>
          <w:spacing w:val="-3"/>
        </w:rPr>
        <w:t xml:space="preserve">plastic </w:t>
      </w:r>
      <w:r>
        <w:t xml:space="preserve">in </w:t>
      </w:r>
      <w:r w:rsidRPr="00BC0203">
        <w:rPr>
          <w:spacing w:val="-3"/>
        </w:rPr>
        <w:t xml:space="preserve">and </w:t>
      </w:r>
      <w:r w:rsidRPr="00BC0203">
        <w:rPr>
          <w:spacing w:val="-4"/>
        </w:rPr>
        <w:t xml:space="preserve">entering the environment. </w:t>
      </w:r>
    </w:p>
    <w:p w14:paraId="5EFA1D21" w14:textId="6CC7C797" w:rsidR="006D62AC" w:rsidRDefault="00DF16F9" w:rsidP="00BC02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BC0203">
        <w:rPr>
          <w:spacing w:val="-3"/>
        </w:rPr>
        <w:t>The</w:t>
      </w:r>
      <w:r w:rsidRPr="00BC0203">
        <w:rPr>
          <w:spacing w:val="-11"/>
        </w:rPr>
        <w:t xml:space="preserve"> </w:t>
      </w:r>
      <w:r w:rsidRPr="00BC0203">
        <w:rPr>
          <w:spacing w:val="-3"/>
        </w:rPr>
        <w:t>Plan</w:t>
      </w:r>
      <w:r w:rsidRPr="00BC0203">
        <w:rPr>
          <w:spacing w:val="-11"/>
        </w:rPr>
        <w:t xml:space="preserve"> </w:t>
      </w:r>
      <w:r>
        <w:t>is</w:t>
      </w:r>
      <w:r w:rsidRPr="00BC0203">
        <w:rPr>
          <w:spacing w:val="-11"/>
        </w:rPr>
        <w:t xml:space="preserve"> </w:t>
      </w:r>
      <w:r>
        <w:t>a</w:t>
      </w:r>
      <w:r w:rsidRPr="00BC0203">
        <w:rPr>
          <w:spacing w:val="-11"/>
        </w:rPr>
        <w:t xml:space="preserve"> </w:t>
      </w:r>
      <w:r w:rsidRPr="00BC0203">
        <w:rPr>
          <w:spacing w:val="-4"/>
        </w:rPr>
        <w:t>priority</w:t>
      </w:r>
      <w:r w:rsidRPr="00BC0203">
        <w:rPr>
          <w:spacing w:val="-12"/>
        </w:rPr>
        <w:t xml:space="preserve"> </w:t>
      </w:r>
      <w:r w:rsidRPr="00BC0203">
        <w:rPr>
          <w:spacing w:val="-3"/>
        </w:rPr>
        <w:t>action</w:t>
      </w:r>
      <w:r w:rsidRPr="00BC0203">
        <w:rPr>
          <w:spacing w:val="-12"/>
        </w:rPr>
        <w:t xml:space="preserve"> </w:t>
      </w:r>
      <w:r>
        <w:t>in</w:t>
      </w:r>
      <w:r w:rsidRPr="00BC0203">
        <w:rPr>
          <w:spacing w:val="-10"/>
        </w:rPr>
        <w:t xml:space="preserve"> </w:t>
      </w:r>
      <w:r w:rsidRPr="00BC0203">
        <w:rPr>
          <w:spacing w:val="-3"/>
        </w:rPr>
        <w:t>the</w:t>
      </w:r>
      <w:r w:rsidRPr="00BC0203">
        <w:rPr>
          <w:spacing w:val="-12"/>
        </w:rPr>
        <w:t xml:space="preserve"> </w:t>
      </w:r>
      <w:r w:rsidRPr="00BC0203">
        <w:rPr>
          <w:spacing w:val="-3"/>
        </w:rPr>
        <w:t>Waste</w:t>
      </w:r>
      <w:r w:rsidRPr="00BC0203">
        <w:rPr>
          <w:spacing w:val="-11"/>
        </w:rPr>
        <w:t xml:space="preserve"> </w:t>
      </w:r>
      <w:r w:rsidRPr="00BC0203">
        <w:rPr>
          <w:spacing w:val="-4"/>
        </w:rPr>
        <w:t>Management</w:t>
      </w:r>
      <w:r w:rsidRPr="00BC0203">
        <w:rPr>
          <w:spacing w:val="-11"/>
        </w:rPr>
        <w:t xml:space="preserve"> </w:t>
      </w:r>
      <w:r>
        <w:t>and</w:t>
      </w:r>
      <w:r w:rsidRPr="00BC0203">
        <w:rPr>
          <w:spacing w:val="-10"/>
        </w:rPr>
        <w:t xml:space="preserve"> </w:t>
      </w:r>
      <w:r w:rsidRPr="00BC0203">
        <w:rPr>
          <w:spacing w:val="-3"/>
        </w:rPr>
        <w:t>Resource</w:t>
      </w:r>
      <w:r w:rsidRPr="00BC0203">
        <w:rPr>
          <w:spacing w:val="-11"/>
        </w:rPr>
        <w:t xml:space="preserve"> </w:t>
      </w:r>
      <w:r w:rsidRPr="00BC0203">
        <w:rPr>
          <w:spacing w:val="-4"/>
        </w:rPr>
        <w:t>Recovery</w:t>
      </w:r>
      <w:r w:rsidRPr="00BC0203">
        <w:rPr>
          <w:spacing w:val="-12"/>
        </w:rPr>
        <w:t xml:space="preserve"> </w:t>
      </w:r>
      <w:r w:rsidRPr="00BC0203">
        <w:rPr>
          <w:spacing w:val="-4"/>
        </w:rPr>
        <w:t xml:space="preserve">Strategy </w:t>
      </w:r>
      <w:r w:rsidRPr="00BC0203">
        <w:rPr>
          <w:spacing w:val="-3"/>
        </w:rPr>
        <w:t xml:space="preserve">which was </w:t>
      </w:r>
      <w:r w:rsidRPr="00BC0203">
        <w:rPr>
          <w:spacing w:val="-4"/>
        </w:rPr>
        <w:t xml:space="preserve">released </w:t>
      </w:r>
      <w:r>
        <w:t xml:space="preserve">on 1 </w:t>
      </w:r>
      <w:r w:rsidRPr="00BC0203">
        <w:rPr>
          <w:spacing w:val="-3"/>
        </w:rPr>
        <w:t>July</w:t>
      </w:r>
      <w:r w:rsidRPr="00BC0203">
        <w:rPr>
          <w:spacing w:val="-26"/>
        </w:rPr>
        <w:t xml:space="preserve"> </w:t>
      </w:r>
      <w:r w:rsidRPr="00BC0203">
        <w:rPr>
          <w:spacing w:val="-4"/>
        </w:rPr>
        <w:t>2019.</w:t>
      </w:r>
    </w:p>
    <w:p w14:paraId="5EFA1D23" w14:textId="77777777" w:rsidR="006D62AC" w:rsidRDefault="00DF16F9" w:rsidP="00BC02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spacing w:val="-3"/>
        </w:rPr>
        <w:t xml:space="preserve">The Plan </w:t>
      </w:r>
      <w:r>
        <w:t xml:space="preserve">is an </w:t>
      </w:r>
      <w:r>
        <w:rPr>
          <w:spacing w:val="-4"/>
        </w:rPr>
        <w:t xml:space="preserve">Australian </w:t>
      </w:r>
      <w:r>
        <w:rPr>
          <w:spacing w:val="-3"/>
        </w:rPr>
        <w:t xml:space="preserve">first </w:t>
      </w:r>
      <w:r>
        <w:t xml:space="preserve">in </w:t>
      </w:r>
      <w:r>
        <w:rPr>
          <w:spacing w:val="-3"/>
        </w:rPr>
        <w:t xml:space="preserve">its scope and </w:t>
      </w:r>
      <w:r>
        <w:rPr>
          <w:spacing w:val="-4"/>
        </w:rPr>
        <w:t xml:space="preserve">structure, </w:t>
      </w:r>
      <w:r>
        <w:rPr>
          <w:spacing w:val="-3"/>
        </w:rPr>
        <w:t xml:space="preserve">taking </w:t>
      </w:r>
      <w:r>
        <w:t xml:space="preserve">a </w:t>
      </w:r>
      <w:r>
        <w:rPr>
          <w:spacing w:val="-4"/>
        </w:rPr>
        <w:t xml:space="preserve">holistic approach </w:t>
      </w:r>
      <w:r>
        <w:t xml:space="preserve">to </w:t>
      </w:r>
      <w:r>
        <w:rPr>
          <w:spacing w:val="-3"/>
        </w:rPr>
        <w:t xml:space="preserve">plastic </w:t>
      </w:r>
      <w:r>
        <w:rPr>
          <w:spacing w:val="-4"/>
        </w:rPr>
        <w:t xml:space="preserve">throughout </w:t>
      </w:r>
      <w:r>
        <w:rPr>
          <w:spacing w:val="-3"/>
        </w:rPr>
        <w:t xml:space="preserve">its supply chain and </w:t>
      </w:r>
      <w:r>
        <w:rPr>
          <w:spacing w:val="-4"/>
        </w:rPr>
        <w:t xml:space="preserve">identifying </w:t>
      </w:r>
      <w:r>
        <w:rPr>
          <w:spacing w:val="-3"/>
        </w:rPr>
        <w:t xml:space="preserve">actions that deliver economic, social and </w:t>
      </w:r>
      <w:r>
        <w:rPr>
          <w:spacing w:val="-4"/>
        </w:rPr>
        <w:t xml:space="preserve">environmental benefits </w:t>
      </w:r>
      <w:r>
        <w:t xml:space="preserve">in </w:t>
      </w:r>
      <w:r>
        <w:rPr>
          <w:spacing w:val="-3"/>
        </w:rPr>
        <w:t xml:space="preserve">five outcome areas </w:t>
      </w:r>
      <w:r>
        <w:t xml:space="preserve">– at </w:t>
      </w:r>
      <w:r>
        <w:rPr>
          <w:spacing w:val="-3"/>
        </w:rPr>
        <w:t xml:space="preserve">home; away from home; commercial </w:t>
      </w:r>
      <w:r>
        <w:t xml:space="preserve">and </w:t>
      </w:r>
      <w:r>
        <w:rPr>
          <w:spacing w:val="-4"/>
        </w:rPr>
        <w:t xml:space="preserve">industrial; </w:t>
      </w:r>
      <w:r>
        <w:rPr>
          <w:spacing w:val="-3"/>
        </w:rPr>
        <w:t>marine; and</w:t>
      </w:r>
      <w:r>
        <w:rPr>
          <w:spacing w:val="-11"/>
        </w:rPr>
        <w:t xml:space="preserve"> </w:t>
      </w:r>
      <w:r>
        <w:rPr>
          <w:spacing w:val="-4"/>
        </w:rPr>
        <w:t>agriculture.</w:t>
      </w:r>
    </w:p>
    <w:p w14:paraId="5EFA1D2B" w14:textId="77777777" w:rsidR="006D62AC" w:rsidRDefault="00DF16F9" w:rsidP="00BC0203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 endorsed</w:t>
      </w:r>
      <w:r>
        <w:t xml:space="preserve"> the release of the </w:t>
      </w:r>
      <w:r>
        <w:rPr>
          <w:i/>
        </w:rPr>
        <w:t>Tackling Plastic Waste – Queensland’s Plastic Pollution Reduction</w:t>
      </w:r>
      <w:r>
        <w:rPr>
          <w:i/>
          <w:spacing w:val="-1"/>
        </w:rPr>
        <w:t xml:space="preserve"> </w:t>
      </w:r>
      <w:r>
        <w:rPr>
          <w:i/>
        </w:rPr>
        <w:t>Plan</w:t>
      </w:r>
      <w:r>
        <w:t>.</w:t>
      </w:r>
    </w:p>
    <w:p w14:paraId="5EFA1D2F" w14:textId="3E207CF8" w:rsidR="006D62AC" w:rsidRDefault="00DF16F9" w:rsidP="00BC0203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>
        <w:rPr>
          <w:i/>
          <w:u w:val="single"/>
        </w:rPr>
        <w:t>Attachment</w:t>
      </w:r>
      <w:r w:rsidR="00BC0203">
        <w:rPr>
          <w:i/>
          <w:u w:val="single"/>
        </w:rPr>
        <w:t>s</w:t>
      </w:r>
    </w:p>
    <w:p w14:paraId="5EFA1D30" w14:textId="567CCEFB" w:rsidR="006D62AC" w:rsidRPr="00D75147" w:rsidRDefault="00980438" w:rsidP="00BC0203">
      <w:pPr>
        <w:pStyle w:val="ListParagraph"/>
        <w:numPr>
          <w:ilvl w:val="1"/>
          <w:numId w:val="2"/>
        </w:numPr>
        <w:tabs>
          <w:tab w:val="left" w:pos="893"/>
        </w:tabs>
        <w:spacing w:before="120"/>
        <w:ind w:left="426" w:right="3" w:firstLine="0"/>
        <w:jc w:val="left"/>
      </w:pPr>
      <w:hyperlink r:id="rId10" w:history="1">
        <w:r w:rsidR="00DF16F9" w:rsidRPr="008F2C3A">
          <w:rPr>
            <w:rStyle w:val="Hyperlink"/>
          </w:rPr>
          <w:t>Tackling Plastic Waste – Queensland’s Plastic Pollution Reduction</w:t>
        </w:r>
        <w:r w:rsidR="00DF16F9" w:rsidRPr="008F2C3A">
          <w:rPr>
            <w:rStyle w:val="Hyperlink"/>
            <w:spacing w:val="-6"/>
          </w:rPr>
          <w:t xml:space="preserve"> </w:t>
        </w:r>
        <w:r w:rsidR="00DF16F9" w:rsidRPr="008F2C3A">
          <w:rPr>
            <w:rStyle w:val="Hyperlink"/>
          </w:rPr>
          <w:t>Plan</w:t>
        </w:r>
      </w:hyperlink>
    </w:p>
    <w:sectPr w:rsidR="006D62AC" w:rsidRPr="00D75147" w:rsidSect="00E20AED">
      <w:headerReference w:type="default" r:id="rId11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94F9F" w14:textId="77777777" w:rsidR="008F2C3A" w:rsidRDefault="008F2C3A" w:rsidP="00DF00C8">
      <w:r>
        <w:separator/>
      </w:r>
    </w:p>
  </w:endnote>
  <w:endnote w:type="continuationSeparator" w:id="0">
    <w:p w14:paraId="37EBE7DF" w14:textId="77777777" w:rsidR="008F2C3A" w:rsidRDefault="008F2C3A" w:rsidP="00DF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6097B" w14:textId="77777777" w:rsidR="008F2C3A" w:rsidRDefault="008F2C3A" w:rsidP="00DF00C8">
      <w:r>
        <w:separator/>
      </w:r>
    </w:p>
  </w:footnote>
  <w:footnote w:type="continuationSeparator" w:id="0">
    <w:p w14:paraId="6425DF17" w14:textId="77777777" w:rsidR="008F2C3A" w:rsidRDefault="008F2C3A" w:rsidP="00DF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39B93" w14:textId="77777777" w:rsidR="008F2C3A" w:rsidRPr="00937A4A" w:rsidRDefault="008F2C3A" w:rsidP="00DF00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256418CA" w14:textId="77777777" w:rsidR="008F2C3A" w:rsidRPr="00937A4A" w:rsidRDefault="008F2C3A" w:rsidP="00DF00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C17D4AE" w14:textId="1EE06CAC" w:rsidR="008F2C3A" w:rsidRPr="00937A4A" w:rsidRDefault="008F2C3A" w:rsidP="00DF00C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November 2019</w:t>
    </w:r>
  </w:p>
  <w:p w14:paraId="0946BBC8" w14:textId="4302C0C1" w:rsidR="008F2C3A" w:rsidRDefault="008F2C3A" w:rsidP="00DF00C8">
    <w:pPr>
      <w:pStyle w:val="Header"/>
      <w:spacing w:before="120"/>
      <w:rPr>
        <w:b/>
        <w:u w:val="single"/>
      </w:rPr>
    </w:pPr>
    <w:r>
      <w:rPr>
        <w:b/>
        <w:u w:val="single"/>
      </w:rPr>
      <w:t>Tackling Plastic Waste – Queensland’s Plastic Pollution Reduction Plan</w:t>
    </w:r>
  </w:p>
  <w:p w14:paraId="799E8D58" w14:textId="71074998" w:rsidR="008F2C3A" w:rsidRDefault="008F2C3A" w:rsidP="00DF00C8">
    <w:pPr>
      <w:pStyle w:val="Header"/>
      <w:spacing w:before="120"/>
      <w:rPr>
        <w:b/>
        <w:u w:val="single"/>
      </w:rPr>
    </w:pPr>
    <w:r>
      <w:rPr>
        <w:b/>
        <w:u w:val="single"/>
      </w:rPr>
      <w:t>Minister for the Environment and Great Barrier Reef, Minister for Science and Minister for the Arts</w:t>
    </w:r>
  </w:p>
  <w:p w14:paraId="52A150D2" w14:textId="77777777" w:rsidR="008F2C3A" w:rsidRDefault="008F2C3A" w:rsidP="00DF00C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43486"/>
    <w:multiLevelType w:val="hybridMultilevel"/>
    <w:tmpl w:val="734A3BB2"/>
    <w:lvl w:ilvl="0" w:tplc="0C09000F">
      <w:start w:val="1"/>
      <w:numFmt w:val="decimal"/>
      <w:lvlText w:val="%1."/>
      <w:lvlJc w:val="left"/>
      <w:pPr>
        <w:ind w:left="757" w:hanging="360"/>
      </w:pPr>
    </w:lvl>
    <w:lvl w:ilvl="1" w:tplc="0C090019" w:tentative="1">
      <w:start w:val="1"/>
      <w:numFmt w:val="lowerLetter"/>
      <w:lvlText w:val="%2."/>
      <w:lvlJc w:val="left"/>
      <w:pPr>
        <w:ind w:left="1477" w:hanging="360"/>
      </w:pPr>
    </w:lvl>
    <w:lvl w:ilvl="2" w:tplc="0C09001B" w:tentative="1">
      <w:start w:val="1"/>
      <w:numFmt w:val="lowerRoman"/>
      <w:lvlText w:val="%3."/>
      <w:lvlJc w:val="right"/>
      <w:pPr>
        <w:ind w:left="2197" w:hanging="180"/>
      </w:pPr>
    </w:lvl>
    <w:lvl w:ilvl="3" w:tplc="0C09000F" w:tentative="1">
      <w:start w:val="1"/>
      <w:numFmt w:val="decimal"/>
      <w:lvlText w:val="%4."/>
      <w:lvlJc w:val="left"/>
      <w:pPr>
        <w:ind w:left="2917" w:hanging="360"/>
      </w:pPr>
    </w:lvl>
    <w:lvl w:ilvl="4" w:tplc="0C090019" w:tentative="1">
      <w:start w:val="1"/>
      <w:numFmt w:val="lowerLetter"/>
      <w:lvlText w:val="%5."/>
      <w:lvlJc w:val="left"/>
      <w:pPr>
        <w:ind w:left="3637" w:hanging="360"/>
      </w:pPr>
    </w:lvl>
    <w:lvl w:ilvl="5" w:tplc="0C09001B" w:tentative="1">
      <w:start w:val="1"/>
      <w:numFmt w:val="lowerRoman"/>
      <w:lvlText w:val="%6."/>
      <w:lvlJc w:val="right"/>
      <w:pPr>
        <w:ind w:left="4357" w:hanging="180"/>
      </w:pPr>
    </w:lvl>
    <w:lvl w:ilvl="6" w:tplc="0C09000F" w:tentative="1">
      <w:start w:val="1"/>
      <w:numFmt w:val="decimal"/>
      <w:lvlText w:val="%7."/>
      <w:lvlJc w:val="left"/>
      <w:pPr>
        <w:ind w:left="5077" w:hanging="360"/>
      </w:pPr>
    </w:lvl>
    <w:lvl w:ilvl="7" w:tplc="0C090019" w:tentative="1">
      <w:start w:val="1"/>
      <w:numFmt w:val="lowerLetter"/>
      <w:lvlText w:val="%8."/>
      <w:lvlJc w:val="left"/>
      <w:pPr>
        <w:ind w:left="5797" w:hanging="360"/>
      </w:pPr>
    </w:lvl>
    <w:lvl w:ilvl="8" w:tplc="0C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1196ACB"/>
    <w:multiLevelType w:val="hybridMultilevel"/>
    <w:tmpl w:val="F3D6E2CA"/>
    <w:lvl w:ilvl="0" w:tplc="EEF60874">
      <w:start w:val="1"/>
      <w:numFmt w:val="decimal"/>
      <w:lvlText w:val="%1."/>
      <w:lvlJc w:val="left"/>
      <w:pPr>
        <w:ind w:left="684" w:hanging="360"/>
      </w:pPr>
      <w:rPr>
        <w:rFonts w:ascii="Arial" w:eastAsia="Arial" w:hAnsi="Arial" w:cs="Arial" w:hint="default"/>
        <w:spacing w:val="-4"/>
        <w:w w:val="99"/>
        <w:sz w:val="22"/>
        <w:szCs w:val="22"/>
      </w:rPr>
    </w:lvl>
    <w:lvl w:ilvl="1" w:tplc="C7C0A11C">
      <w:numFmt w:val="bullet"/>
      <w:lvlText w:val=""/>
      <w:lvlJc w:val="left"/>
      <w:pPr>
        <w:ind w:left="892" w:hanging="210"/>
      </w:pPr>
      <w:rPr>
        <w:rFonts w:ascii="Symbol" w:eastAsia="Symbol" w:hAnsi="Symbol" w:cs="Symbol" w:hint="default"/>
        <w:w w:val="100"/>
        <w:sz w:val="23"/>
        <w:szCs w:val="23"/>
      </w:rPr>
    </w:lvl>
    <w:lvl w:ilvl="2" w:tplc="5BF8C6F0">
      <w:numFmt w:val="bullet"/>
      <w:lvlText w:val="•"/>
      <w:lvlJc w:val="left"/>
      <w:pPr>
        <w:ind w:left="1869" w:hanging="210"/>
      </w:pPr>
      <w:rPr>
        <w:rFonts w:hint="default"/>
      </w:rPr>
    </w:lvl>
    <w:lvl w:ilvl="3" w:tplc="82405578">
      <w:numFmt w:val="bullet"/>
      <w:lvlText w:val="•"/>
      <w:lvlJc w:val="left"/>
      <w:pPr>
        <w:ind w:left="2838" w:hanging="210"/>
      </w:pPr>
      <w:rPr>
        <w:rFonts w:hint="default"/>
      </w:rPr>
    </w:lvl>
    <w:lvl w:ilvl="4" w:tplc="363C0876">
      <w:numFmt w:val="bullet"/>
      <w:lvlText w:val="•"/>
      <w:lvlJc w:val="left"/>
      <w:pPr>
        <w:ind w:left="3808" w:hanging="210"/>
      </w:pPr>
      <w:rPr>
        <w:rFonts w:hint="default"/>
      </w:rPr>
    </w:lvl>
    <w:lvl w:ilvl="5" w:tplc="D3502668">
      <w:numFmt w:val="bullet"/>
      <w:lvlText w:val="•"/>
      <w:lvlJc w:val="left"/>
      <w:pPr>
        <w:ind w:left="4777" w:hanging="210"/>
      </w:pPr>
      <w:rPr>
        <w:rFonts w:hint="default"/>
      </w:rPr>
    </w:lvl>
    <w:lvl w:ilvl="6" w:tplc="B7C23C98">
      <w:numFmt w:val="bullet"/>
      <w:lvlText w:val="•"/>
      <w:lvlJc w:val="left"/>
      <w:pPr>
        <w:ind w:left="5746" w:hanging="210"/>
      </w:pPr>
      <w:rPr>
        <w:rFonts w:hint="default"/>
      </w:rPr>
    </w:lvl>
    <w:lvl w:ilvl="7" w:tplc="EAA4442E">
      <w:numFmt w:val="bullet"/>
      <w:lvlText w:val="•"/>
      <w:lvlJc w:val="left"/>
      <w:pPr>
        <w:ind w:left="6716" w:hanging="210"/>
      </w:pPr>
      <w:rPr>
        <w:rFonts w:hint="default"/>
      </w:rPr>
    </w:lvl>
    <w:lvl w:ilvl="8" w:tplc="1DFEDF22">
      <w:numFmt w:val="bullet"/>
      <w:lvlText w:val="•"/>
      <w:lvlJc w:val="left"/>
      <w:pPr>
        <w:ind w:left="7685" w:hanging="210"/>
      </w:pPr>
      <w:rPr>
        <w:rFonts w:hint="default"/>
      </w:rPr>
    </w:lvl>
  </w:abstractNum>
  <w:abstractNum w:abstractNumId="2" w15:restartNumberingAfterBreak="0">
    <w:nsid w:val="3C02570B"/>
    <w:multiLevelType w:val="hybridMultilevel"/>
    <w:tmpl w:val="297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2231"/>
    <w:multiLevelType w:val="hybridMultilevel"/>
    <w:tmpl w:val="8E5244E8"/>
    <w:lvl w:ilvl="0" w:tplc="CB0635B4">
      <w:start w:val="1"/>
      <w:numFmt w:val="decimal"/>
      <w:lvlText w:val="%1."/>
      <w:lvlJc w:val="left"/>
      <w:pPr>
        <w:ind w:left="684" w:hanging="360"/>
      </w:pPr>
      <w:rPr>
        <w:rFonts w:ascii="Arial" w:eastAsia="Arial" w:hAnsi="Arial" w:cs="Arial" w:hint="default"/>
        <w:i w:val="0"/>
        <w:spacing w:val="-4"/>
        <w:w w:val="99"/>
        <w:sz w:val="22"/>
        <w:szCs w:val="22"/>
      </w:rPr>
    </w:lvl>
    <w:lvl w:ilvl="1" w:tplc="C7C0A11C">
      <w:numFmt w:val="bullet"/>
      <w:lvlText w:val=""/>
      <w:lvlJc w:val="left"/>
      <w:pPr>
        <w:ind w:left="892" w:hanging="210"/>
      </w:pPr>
      <w:rPr>
        <w:rFonts w:ascii="Symbol" w:eastAsia="Symbol" w:hAnsi="Symbol" w:cs="Symbol" w:hint="default"/>
        <w:w w:val="100"/>
        <w:sz w:val="23"/>
        <w:szCs w:val="23"/>
      </w:rPr>
    </w:lvl>
    <w:lvl w:ilvl="2" w:tplc="5BF8C6F0">
      <w:numFmt w:val="bullet"/>
      <w:lvlText w:val="•"/>
      <w:lvlJc w:val="left"/>
      <w:pPr>
        <w:ind w:left="1869" w:hanging="210"/>
      </w:pPr>
      <w:rPr>
        <w:rFonts w:hint="default"/>
      </w:rPr>
    </w:lvl>
    <w:lvl w:ilvl="3" w:tplc="82405578">
      <w:numFmt w:val="bullet"/>
      <w:lvlText w:val="•"/>
      <w:lvlJc w:val="left"/>
      <w:pPr>
        <w:ind w:left="2838" w:hanging="210"/>
      </w:pPr>
      <w:rPr>
        <w:rFonts w:hint="default"/>
      </w:rPr>
    </w:lvl>
    <w:lvl w:ilvl="4" w:tplc="363C0876">
      <w:numFmt w:val="bullet"/>
      <w:lvlText w:val="•"/>
      <w:lvlJc w:val="left"/>
      <w:pPr>
        <w:ind w:left="3808" w:hanging="210"/>
      </w:pPr>
      <w:rPr>
        <w:rFonts w:hint="default"/>
      </w:rPr>
    </w:lvl>
    <w:lvl w:ilvl="5" w:tplc="D3502668">
      <w:numFmt w:val="bullet"/>
      <w:lvlText w:val="•"/>
      <w:lvlJc w:val="left"/>
      <w:pPr>
        <w:ind w:left="4777" w:hanging="210"/>
      </w:pPr>
      <w:rPr>
        <w:rFonts w:hint="default"/>
      </w:rPr>
    </w:lvl>
    <w:lvl w:ilvl="6" w:tplc="B7C23C98">
      <w:numFmt w:val="bullet"/>
      <w:lvlText w:val="•"/>
      <w:lvlJc w:val="left"/>
      <w:pPr>
        <w:ind w:left="5746" w:hanging="210"/>
      </w:pPr>
      <w:rPr>
        <w:rFonts w:hint="default"/>
      </w:rPr>
    </w:lvl>
    <w:lvl w:ilvl="7" w:tplc="EAA4442E">
      <w:numFmt w:val="bullet"/>
      <w:lvlText w:val="•"/>
      <w:lvlJc w:val="left"/>
      <w:pPr>
        <w:ind w:left="6716" w:hanging="210"/>
      </w:pPr>
      <w:rPr>
        <w:rFonts w:hint="default"/>
      </w:rPr>
    </w:lvl>
    <w:lvl w:ilvl="8" w:tplc="1DFEDF22">
      <w:numFmt w:val="bullet"/>
      <w:lvlText w:val="•"/>
      <w:lvlJc w:val="left"/>
      <w:pPr>
        <w:ind w:left="7685" w:hanging="21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AC"/>
    <w:rsid w:val="000519A4"/>
    <w:rsid w:val="000E3C82"/>
    <w:rsid w:val="00373A3E"/>
    <w:rsid w:val="003E68DF"/>
    <w:rsid w:val="006D62AC"/>
    <w:rsid w:val="00711B5B"/>
    <w:rsid w:val="00772671"/>
    <w:rsid w:val="007D32E3"/>
    <w:rsid w:val="0083099D"/>
    <w:rsid w:val="00856391"/>
    <w:rsid w:val="008F2C3A"/>
    <w:rsid w:val="00980438"/>
    <w:rsid w:val="009E3122"/>
    <w:rsid w:val="009E433E"/>
    <w:rsid w:val="00A04DD3"/>
    <w:rsid w:val="00B53059"/>
    <w:rsid w:val="00BC0203"/>
    <w:rsid w:val="00D75147"/>
    <w:rsid w:val="00DA4419"/>
    <w:rsid w:val="00DB68E2"/>
    <w:rsid w:val="00DF00C8"/>
    <w:rsid w:val="00DF16F9"/>
    <w:rsid w:val="00E20AED"/>
    <w:rsid w:val="00E65AEE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1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324" w:right="31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right="2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5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05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05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59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26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67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00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0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00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0C8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F2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E7781-71E8-4064-AD3F-9EFECC8DB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3A18F-9639-4F61-AEF7-1201DB4DA6A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E44574-72D8-48DC-89D8-78F621D06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1221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Attachment 7</vt:lpstr>
    </vt:vector>
  </TitlesOfParts>
  <Company/>
  <LinksUpToDate>false</LinksUpToDate>
  <CharactersWithSpaces>1436</CharactersWithSpaces>
  <SharedDoc>false</SharedDoc>
  <HyperlinkBase>https://www.cabinet.qld.gov.au/documents/2019/Nov/PlasWaste/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Attachment 7</dc:title>
  <dc:creator/>
  <cp:lastModifiedBy/>
  <cp:revision>23</cp:revision>
  <dcterms:created xsi:type="dcterms:W3CDTF">2019-10-21T06:06:00Z</dcterms:created>
  <dcterms:modified xsi:type="dcterms:W3CDTF">2020-08-11T02:44:00Z</dcterms:modified>
  <cp:category>Waste_Management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2019-10-21T00:00:00Z</vt:filetime>
  </property>
  <property fmtid="{D5CDD505-2E9C-101B-9397-08002B2CF9AE}" pid="5" name="ContentTypeId">
    <vt:lpwstr>0x010100DDE14CFDD070B24F85F5DE43654FF01E</vt:lpwstr>
  </property>
</Properties>
</file>